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B23" w:rsidRPr="0041405A" w:rsidRDefault="0048249A">
      <w:pPr>
        <w:pStyle w:val="Titolo"/>
        <w:pageBreakBefore/>
        <w:rPr>
          <w:rFonts w:ascii="Titillium" w:hAnsi="Titillium"/>
          <w:sz w:val="20"/>
          <w:szCs w:val="20"/>
        </w:rPr>
      </w:pPr>
      <w:r w:rsidRPr="0041405A">
        <w:rPr>
          <w:rFonts w:ascii="Titillium" w:hAnsi="Titillium"/>
          <w:sz w:val="20"/>
          <w:szCs w:val="20"/>
        </w:rPr>
        <w:t xml:space="preserve">Scheda di sintesi sulla rilevazione degli OIV o </w:t>
      </w:r>
      <w:r w:rsidR="009A5646" w:rsidRPr="0041405A">
        <w:rPr>
          <w:rFonts w:ascii="Titillium" w:hAnsi="Titillium"/>
          <w:sz w:val="20"/>
          <w:szCs w:val="20"/>
        </w:rPr>
        <w:t>organismi con funzioni analoghe</w:t>
      </w:r>
    </w:p>
    <w:p w:rsidR="00C27B23" w:rsidRPr="0041405A" w:rsidRDefault="00C27B23">
      <w:pPr>
        <w:pStyle w:val="Paragrafoelenco"/>
        <w:ind w:left="0" w:firstLine="0"/>
        <w:rPr>
          <w:rFonts w:ascii="Titillium" w:hAnsi="Titillium"/>
          <w:sz w:val="20"/>
          <w:szCs w:val="20"/>
        </w:rPr>
      </w:pPr>
    </w:p>
    <w:p w:rsidR="00C27B23" w:rsidRPr="0041405A" w:rsidRDefault="0048249A">
      <w:pPr>
        <w:pStyle w:val="Paragrafoelenco"/>
        <w:spacing w:line="360" w:lineRule="auto"/>
        <w:ind w:left="0" w:firstLine="0"/>
        <w:rPr>
          <w:rFonts w:ascii="Titillium" w:hAnsi="Titillium"/>
          <w:b/>
          <w:i/>
          <w:sz w:val="20"/>
          <w:szCs w:val="20"/>
        </w:rPr>
      </w:pPr>
      <w:r w:rsidRPr="0041405A">
        <w:rPr>
          <w:rFonts w:ascii="Titillium" w:hAnsi="Titillium"/>
          <w:b/>
          <w:i/>
          <w:sz w:val="20"/>
          <w:szCs w:val="20"/>
        </w:rPr>
        <w:t>Data di svolgimento della rilevazione</w:t>
      </w:r>
    </w:p>
    <w:p w:rsidR="00C27B23" w:rsidRDefault="006E6E2E" w:rsidP="006E6E2E">
      <w:pPr>
        <w:pStyle w:val="Paragrafoelenco"/>
        <w:spacing w:after="0" w:line="276" w:lineRule="auto"/>
        <w:ind w:left="0" w:firstLine="0"/>
        <w:rPr>
          <w:rFonts w:ascii="Titillium" w:hAnsi="Titillium"/>
          <w:sz w:val="20"/>
          <w:szCs w:val="20"/>
        </w:rPr>
      </w:pPr>
      <w:r>
        <w:rPr>
          <w:rFonts w:ascii="Titillium" w:hAnsi="Titillium"/>
          <w:sz w:val="20"/>
          <w:szCs w:val="20"/>
        </w:rPr>
        <w:t>31 maggio 2022</w:t>
      </w:r>
    </w:p>
    <w:p w:rsidR="006E6E2E" w:rsidRPr="0041405A" w:rsidRDefault="006E6E2E" w:rsidP="006E6E2E">
      <w:pPr>
        <w:pStyle w:val="Paragrafoelenco"/>
        <w:spacing w:after="0" w:line="276" w:lineRule="auto"/>
        <w:ind w:left="0" w:firstLine="0"/>
        <w:rPr>
          <w:rFonts w:ascii="Titillium" w:hAnsi="Titillium"/>
          <w:sz w:val="20"/>
          <w:szCs w:val="20"/>
        </w:rPr>
      </w:pPr>
    </w:p>
    <w:p w:rsidR="00C27B23" w:rsidRPr="0041405A" w:rsidRDefault="0048249A">
      <w:pPr>
        <w:pStyle w:val="Paragrafoelenco"/>
        <w:spacing w:after="0"/>
        <w:ind w:left="0" w:firstLine="0"/>
        <w:rPr>
          <w:rFonts w:ascii="Titillium" w:hAnsi="Titillium"/>
          <w:b/>
          <w:i/>
          <w:sz w:val="20"/>
          <w:szCs w:val="20"/>
        </w:rPr>
      </w:pPr>
      <w:r w:rsidRPr="0041405A">
        <w:rPr>
          <w:rFonts w:ascii="Titillium" w:hAnsi="Titillium"/>
          <w:b/>
          <w:i/>
          <w:sz w:val="20"/>
          <w:szCs w:val="20"/>
        </w:rPr>
        <w:t xml:space="preserve">Estensione della rilevazione (nel </w:t>
      </w:r>
      <w:r w:rsidR="00FC7906" w:rsidRPr="0041405A">
        <w:rPr>
          <w:rFonts w:ascii="Titillium" w:hAnsi="Titillium"/>
          <w:b/>
          <w:i/>
          <w:sz w:val="20"/>
          <w:szCs w:val="20"/>
        </w:rPr>
        <w:t xml:space="preserve">solo </w:t>
      </w:r>
      <w:r w:rsidRPr="0041405A">
        <w:rPr>
          <w:rFonts w:ascii="Titillium" w:hAnsi="Titillium"/>
          <w:b/>
          <w:i/>
          <w:sz w:val="20"/>
          <w:szCs w:val="20"/>
        </w:rPr>
        <w:t>caso di ammin</w:t>
      </w:r>
      <w:r w:rsidR="007A107C" w:rsidRPr="0041405A">
        <w:rPr>
          <w:rFonts w:ascii="Titillium" w:hAnsi="Titillium"/>
          <w:b/>
          <w:i/>
          <w:sz w:val="20"/>
          <w:szCs w:val="20"/>
        </w:rPr>
        <w:t>istrazioni</w:t>
      </w:r>
      <w:r w:rsidR="00FC7906" w:rsidRPr="0041405A">
        <w:rPr>
          <w:rFonts w:ascii="Titillium" w:hAnsi="Titillium"/>
          <w:b/>
          <w:i/>
          <w:sz w:val="20"/>
          <w:szCs w:val="20"/>
        </w:rPr>
        <w:t>/enti</w:t>
      </w:r>
      <w:r w:rsidR="007A107C" w:rsidRPr="0041405A">
        <w:rPr>
          <w:rFonts w:ascii="Titillium" w:hAnsi="Titillium"/>
          <w:b/>
          <w:i/>
          <w:sz w:val="20"/>
          <w:szCs w:val="20"/>
        </w:rPr>
        <w:t xml:space="preserve"> con uffici periferici)</w:t>
      </w:r>
    </w:p>
    <w:p w:rsidR="00C27B23" w:rsidRPr="0041405A" w:rsidRDefault="00C27B23">
      <w:pPr>
        <w:pStyle w:val="Paragrafoelenco"/>
        <w:spacing w:after="0"/>
        <w:ind w:left="0" w:firstLine="0"/>
        <w:rPr>
          <w:rFonts w:ascii="Titillium" w:hAnsi="Titillium"/>
          <w:b/>
          <w:sz w:val="20"/>
          <w:szCs w:val="20"/>
          <w:u w:val="single"/>
        </w:rPr>
      </w:pPr>
    </w:p>
    <w:p w:rsidR="00C27B23" w:rsidRPr="006E6E2E" w:rsidRDefault="006E6E2E" w:rsidP="006E6E2E">
      <w:pPr>
        <w:spacing w:after="0" w:line="276" w:lineRule="auto"/>
        <w:rPr>
          <w:rFonts w:ascii="Titillium" w:hAnsi="Titillium"/>
          <w:sz w:val="20"/>
          <w:szCs w:val="20"/>
        </w:rPr>
      </w:pPr>
      <w:r w:rsidRPr="006E6E2E">
        <w:rPr>
          <w:rFonts w:ascii="Titillium" w:hAnsi="Titillium"/>
          <w:sz w:val="20"/>
          <w:szCs w:val="20"/>
        </w:rPr>
        <w:t>NON SONO PRESENTI UFFICI PERIFERICI</w:t>
      </w:r>
    </w:p>
    <w:p w:rsidR="006E6E2E" w:rsidRDefault="006E6E2E">
      <w:pPr>
        <w:pStyle w:val="Paragrafoelenco"/>
        <w:spacing w:line="360" w:lineRule="auto"/>
        <w:ind w:left="0" w:firstLine="0"/>
        <w:rPr>
          <w:rFonts w:ascii="Titillium" w:hAnsi="Titillium"/>
          <w:b/>
          <w:i/>
          <w:sz w:val="20"/>
          <w:szCs w:val="20"/>
        </w:rPr>
      </w:pPr>
    </w:p>
    <w:p w:rsidR="00C27B23" w:rsidRPr="0041405A" w:rsidRDefault="0048249A">
      <w:pPr>
        <w:pStyle w:val="Paragrafoelenco"/>
        <w:spacing w:line="360" w:lineRule="auto"/>
        <w:ind w:left="0" w:firstLine="0"/>
        <w:rPr>
          <w:rFonts w:ascii="Titillium" w:hAnsi="Titillium"/>
          <w:b/>
          <w:i/>
          <w:sz w:val="20"/>
          <w:szCs w:val="20"/>
        </w:rPr>
      </w:pPr>
      <w:r w:rsidRPr="0041405A">
        <w:rPr>
          <w:rFonts w:ascii="Titillium" w:hAnsi="Titillium"/>
          <w:b/>
          <w:i/>
          <w:sz w:val="20"/>
          <w:szCs w:val="20"/>
        </w:rPr>
        <w:t xml:space="preserve">Procedure e modalità seguite per la rilevazione </w:t>
      </w:r>
    </w:p>
    <w:p w:rsidR="00C27B23" w:rsidRPr="0041405A" w:rsidRDefault="006E6E2E">
      <w:pPr>
        <w:spacing w:line="360" w:lineRule="auto"/>
        <w:rPr>
          <w:rFonts w:ascii="Titillium" w:hAnsi="Titillium"/>
          <w:sz w:val="20"/>
          <w:szCs w:val="20"/>
          <w:u w:val="single"/>
        </w:rPr>
      </w:pPr>
      <w:r w:rsidRPr="006E6E2E">
        <w:rPr>
          <w:rFonts w:ascii="Titillium" w:hAnsi="Titillium"/>
          <w:sz w:val="20"/>
          <w:szCs w:val="20"/>
        </w:rPr>
        <w:t xml:space="preserve">Il Consiglio Notarile di </w:t>
      </w:r>
      <w:r>
        <w:rPr>
          <w:rFonts w:ascii="Titillium" w:hAnsi="Titillium"/>
          <w:sz w:val="20"/>
          <w:szCs w:val="20"/>
        </w:rPr>
        <w:t>Trieste</w:t>
      </w:r>
      <w:r w:rsidRPr="006E6E2E">
        <w:rPr>
          <w:rFonts w:ascii="Titillium" w:hAnsi="Titillium"/>
          <w:sz w:val="20"/>
          <w:szCs w:val="20"/>
        </w:rPr>
        <w:t xml:space="preserve"> è privo di OIV, per cui la </w:t>
      </w:r>
      <w:r>
        <w:rPr>
          <w:rFonts w:ascii="Titillium" w:hAnsi="Titillium"/>
          <w:sz w:val="20"/>
          <w:szCs w:val="20"/>
        </w:rPr>
        <w:t>rilevazione</w:t>
      </w:r>
      <w:r w:rsidRPr="006E6E2E">
        <w:rPr>
          <w:rFonts w:ascii="Titillium" w:hAnsi="Titillium"/>
          <w:sz w:val="20"/>
          <w:szCs w:val="20"/>
        </w:rPr>
        <w:t xml:space="preserve"> è stata svolta dal Responsabile </w:t>
      </w:r>
      <w:r>
        <w:rPr>
          <w:rFonts w:ascii="Titillium" w:hAnsi="Titillium"/>
          <w:sz w:val="20"/>
          <w:szCs w:val="20"/>
        </w:rPr>
        <w:t>della</w:t>
      </w:r>
      <w:r w:rsidRPr="006E6E2E">
        <w:rPr>
          <w:rFonts w:ascii="Titillium" w:hAnsi="Titillium"/>
          <w:sz w:val="20"/>
          <w:szCs w:val="20"/>
        </w:rPr>
        <w:t xml:space="preserve"> prevenzione della corruzione e </w:t>
      </w:r>
      <w:r>
        <w:rPr>
          <w:rFonts w:ascii="Titillium" w:hAnsi="Titillium"/>
          <w:sz w:val="20"/>
          <w:szCs w:val="20"/>
        </w:rPr>
        <w:t>della</w:t>
      </w:r>
      <w:r w:rsidRPr="006E6E2E">
        <w:rPr>
          <w:rFonts w:ascii="Titillium" w:hAnsi="Titillium"/>
          <w:sz w:val="20"/>
          <w:szCs w:val="20"/>
        </w:rPr>
        <w:t xml:space="preserve"> trasparenza</w:t>
      </w:r>
      <w:r w:rsidR="009E4289">
        <w:rPr>
          <w:rFonts w:ascii="Titillium" w:hAnsi="Titillium"/>
          <w:sz w:val="20"/>
          <w:szCs w:val="20"/>
        </w:rPr>
        <w:t xml:space="preserve"> </w:t>
      </w:r>
      <w:r w:rsidR="007B6D01">
        <w:rPr>
          <w:rFonts w:ascii="Titillium" w:hAnsi="Titillium"/>
          <w:sz w:val="20"/>
          <w:szCs w:val="20"/>
        </w:rPr>
        <w:t xml:space="preserve">nominato con delibera del Consiglio Notarile di Trieste di data 24 maggio 2022, </w:t>
      </w:r>
      <w:r w:rsidRPr="006E6E2E">
        <w:rPr>
          <w:rFonts w:ascii="Titillium" w:hAnsi="Titillium"/>
          <w:sz w:val="20"/>
          <w:szCs w:val="20"/>
        </w:rPr>
        <w:t>verificando quanto pubblicato</w:t>
      </w:r>
      <w:r>
        <w:rPr>
          <w:rFonts w:ascii="Titillium" w:hAnsi="Titillium"/>
          <w:sz w:val="20"/>
          <w:szCs w:val="20"/>
        </w:rPr>
        <w:t xml:space="preserve"> </w:t>
      </w:r>
      <w:r w:rsidRPr="006E6E2E">
        <w:rPr>
          <w:rFonts w:ascii="Titillium" w:hAnsi="Titillium"/>
          <w:sz w:val="20"/>
          <w:szCs w:val="20"/>
        </w:rPr>
        <w:t>sul sito istituzionale dell’Ente</w:t>
      </w:r>
      <w:r>
        <w:rPr>
          <w:rFonts w:ascii="Titillium" w:hAnsi="Titillium"/>
          <w:sz w:val="20"/>
          <w:szCs w:val="20"/>
        </w:rPr>
        <w:t>.</w:t>
      </w:r>
    </w:p>
    <w:p w:rsidR="007B6D01" w:rsidRDefault="007B6D01">
      <w:pPr>
        <w:spacing w:line="360" w:lineRule="auto"/>
        <w:rPr>
          <w:rFonts w:ascii="Titillium" w:hAnsi="Titillium"/>
          <w:b/>
          <w:i/>
          <w:sz w:val="20"/>
          <w:szCs w:val="20"/>
        </w:rPr>
      </w:pPr>
    </w:p>
    <w:p w:rsidR="00C27B23" w:rsidRPr="0041405A" w:rsidRDefault="0048249A">
      <w:pPr>
        <w:spacing w:line="360" w:lineRule="auto"/>
        <w:rPr>
          <w:rFonts w:ascii="Titillium" w:hAnsi="Titillium"/>
          <w:b/>
          <w:i/>
          <w:sz w:val="20"/>
          <w:szCs w:val="20"/>
        </w:rPr>
      </w:pPr>
      <w:r w:rsidRPr="0041405A">
        <w:rPr>
          <w:rFonts w:ascii="Titillium" w:hAnsi="Titillium"/>
          <w:b/>
          <w:i/>
          <w:sz w:val="20"/>
          <w:szCs w:val="20"/>
        </w:rPr>
        <w:t>Aspetti critici riscontrati nel corso della rilevazione</w:t>
      </w:r>
    </w:p>
    <w:p w:rsidR="00B73E11" w:rsidRDefault="007B6D01">
      <w:pPr>
        <w:spacing w:line="360" w:lineRule="auto"/>
        <w:rPr>
          <w:rFonts w:ascii="Titillium" w:hAnsi="Titillium"/>
          <w:bCs/>
          <w:sz w:val="20"/>
          <w:szCs w:val="20"/>
        </w:rPr>
      </w:pPr>
      <w:r w:rsidRPr="007B6D01">
        <w:rPr>
          <w:rFonts w:ascii="Titillium" w:hAnsi="Titillium"/>
          <w:bCs/>
          <w:sz w:val="20"/>
          <w:szCs w:val="20"/>
        </w:rPr>
        <w:t xml:space="preserve">A fronte delle verifiche </w:t>
      </w:r>
      <w:r>
        <w:rPr>
          <w:rFonts w:ascii="Titillium" w:hAnsi="Titillium"/>
          <w:bCs/>
          <w:sz w:val="20"/>
          <w:szCs w:val="20"/>
        </w:rPr>
        <w:t xml:space="preserve">effettuate, preso atto che il sito istituzionale del Consiglio Notarile di Trieste, alla data della prescritta rilevazione, aveva solo parzialmente individuato misure organizzative volte ad assicurare il regolare funzionamento dei flussi informativi per la pubblicazione dei dati nella Sezione “Amministrazione trasparente”, si è provveduto, con l’ausilio </w:t>
      </w:r>
      <w:r w:rsidR="009E4289">
        <w:rPr>
          <w:rFonts w:ascii="Titillium" w:hAnsi="Titillium"/>
          <w:bCs/>
          <w:sz w:val="20"/>
          <w:szCs w:val="20"/>
        </w:rPr>
        <w:t>del</w:t>
      </w:r>
      <w:r>
        <w:rPr>
          <w:rFonts w:ascii="Titillium" w:hAnsi="Titillium"/>
          <w:bCs/>
          <w:sz w:val="20"/>
          <w:szCs w:val="20"/>
        </w:rPr>
        <w:t xml:space="preserve"> Consiglio</w:t>
      </w:r>
      <w:r w:rsidR="00625104">
        <w:rPr>
          <w:rFonts w:ascii="Titillium" w:hAnsi="Titillium"/>
          <w:bCs/>
          <w:sz w:val="20"/>
          <w:szCs w:val="20"/>
        </w:rPr>
        <w:t xml:space="preserve"> e dell’Ufficio di </w:t>
      </w:r>
      <w:r>
        <w:rPr>
          <w:rFonts w:ascii="Titillium" w:hAnsi="Titillium"/>
          <w:bCs/>
          <w:sz w:val="20"/>
          <w:szCs w:val="20"/>
        </w:rPr>
        <w:t>Segreteria, a</w:t>
      </w:r>
      <w:r w:rsidR="009E4289">
        <w:rPr>
          <w:rFonts w:ascii="Titillium" w:hAnsi="Titillium"/>
          <w:bCs/>
          <w:sz w:val="20"/>
          <w:szCs w:val="20"/>
        </w:rPr>
        <w:t xml:space="preserve"> confermare </w:t>
      </w:r>
      <w:r>
        <w:rPr>
          <w:rFonts w:ascii="Titillium" w:hAnsi="Titillium"/>
          <w:bCs/>
          <w:sz w:val="20"/>
          <w:szCs w:val="20"/>
        </w:rPr>
        <w:t xml:space="preserve">con modifiche </w:t>
      </w:r>
      <w:r w:rsidR="009E4289">
        <w:rPr>
          <w:rFonts w:ascii="Titillium" w:hAnsi="Titillium"/>
          <w:bCs/>
          <w:sz w:val="20"/>
          <w:szCs w:val="20"/>
        </w:rPr>
        <w:t>il</w:t>
      </w:r>
      <w:r w:rsidR="00625104">
        <w:rPr>
          <w:rFonts w:ascii="Titillium" w:hAnsi="Titillium"/>
          <w:bCs/>
          <w:sz w:val="20"/>
          <w:szCs w:val="20"/>
        </w:rPr>
        <w:t xml:space="preserve"> piano triennale per la prevenzione della corruzione e della trasparenza per il triennio 2022-2024 e, con l’ausilio dell’Ufficio di Segreteria e di tecnici informatici, alla predisposizione</w:t>
      </w:r>
      <w:r w:rsidR="009C3F46">
        <w:rPr>
          <w:rFonts w:ascii="Titillium" w:hAnsi="Titillium"/>
          <w:bCs/>
          <w:sz w:val="20"/>
          <w:szCs w:val="20"/>
        </w:rPr>
        <w:t>, a decorrere dal mese di settembre,</w:t>
      </w:r>
      <w:r w:rsidR="00625104">
        <w:rPr>
          <w:rFonts w:ascii="Titillium" w:hAnsi="Titillium"/>
          <w:bCs/>
          <w:sz w:val="20"/>
          <w:szCs w:val="20"/>
        </w:rPr>
        <w:t xml:space="preserve"> di una sezione dedicata del sito internet istituzionale dell’ente per l’adempimento dei prescritti obblighi di pubblicazione</w:t>
      </w:r>
      <w:r w:rsidR="00B73E11">
        <w:rPr>
          <w:rFonts w:ascii="Titillium" w:hAnsi="Titillium"/>
          <w:bCs/>
          <w:sz w:val="20"/>
          <w:szCs w:val="20"/>
        </w:rPr>
        <w:t>.</w:t>
      </w:r>
    </w:p>
    <w:p w:rsidR="009C3F46" w:rsidRPr="0041405A" w:rsidRDefault="00B73E11">
      <w:pPr>
        <w:spacing w:line="360" w:lineRule="auto"/>
        <w:rPr>
          <w:rFonts w:ascii="Titillium" w:hAnsi="Titillium"/>
          <w:b/>
          <w:sz w:val="20"/>
          <w:szCs w:val="20"/>
          <w:u w:val="single"/>
        </w:rPr>
      </w:pPr>
      <w:bookmarkStart w:id="0" w:name="_GoBack"/>
      <w:bookmarkEnd w:id="0"/>
      <w:r w:rsidRPr="0041405A">
        <w:rPr>
          <w:rFonts w:ascii="Titillium" w:hAnsi="Titillium"/>
          <w:b/>
          <w:sz w:val="20"/>
          <w:szCs w:val="20"/>
          <w:u w:val="single"/>
        </w:rPr>
        <w:t xml:space="preserve"> </w:t>
      </w:r>
    </w:p>
    <w:p w:rsidR="00C27B23" w:rsidRDefault="0048249A">
      <w:pPr>
        <w:spacing w:line="360" w:lineRule="auto"/>
        <w:rPr>
          <w:rFonts w:ascii="Titillium" w:hAnsi="Titillium"/>
          <w:b/>
          <w:i/>
          <w:sz w:val="20"/>
          <w:szCs w:val="20"/>
        </w:rPr>
      </w:pPr>
      <w:r w:rsidRPr="0041405A">
        <w:rPr>
          <w:rFonts w:ascii="Titillium" w:hAnsi="Titillium"/>
          <w:b/>
          <w:i/>
          <w:sz w:val="20"/>
          <w:szCs w:val="20"/>
        </w:rPr>
        <w:t>Eventuale documentazione da allegare</w:t>
      </w:r>
    </w:p>
    <w:p w:rsidR="009C3F46" w:rsidRPr="009C3F46" w:rsidRDefault="009C3F46">
      <w:pPr>
        <w:spacing w:line="360" w:lineRule="auto"/>
        <w:rPr>
          <w:rFonts w:ascii="Titillium" w:hAnsi="Titillium"/>
          <w:bCs/>
          <w:iCs/>
          <w:sz w:val="20"/>
          <w:szCs w:val="20"/>
        </w:rPr>
      </w:pPr>
      <w:r w:rsidRPr="009C3F46">
        <w:rPr>
          <w:rFonts w:ascii="Titillium" w:hAnsi="Titillium"/>
          <w:bCs/>
          <w:iCs/>
          <w:sz w:val="20"/>
          <w:szCs w:val="20"/>
        </w:rPr>
        <w:t>//</w:t>
      </w:r>
    </w:p>
    <w:sectPr w:rsidR="009C3F46" w:rsidRPr="009C3F46">
      <w:headerReference w:type="even" r:id="rId7"/>
      <w:headerReference w:type="default" r:id="rId8"/>
      <w:footerReference w:type="even" r:id="rId9"/>
      <w:footerReference w:type="default" r:id="rId10"/>
      <w:headerReference w:type="first" r:id="rId11"/>
      <w:footerReference w:type="first" r:id="rId12"/>
      <w:pgSz w:w="11906" w:h="16838"/>
      <w:pgMar w:top="1417" w:right="1134" w:bottom="708" w:left="1134" w:header="708"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1E4" w:rsidRDefault="00F131E4">
      <w:pPr>
        <w:spacing w:after="0" w:line="240" w:lineRule="auto"/>
      </w:pPr>
      <w:r>
        <w:separator/>
      </w:r>
    </w:p>
  </w:endnote>
  <w:endnote w:type="continuationSeparator" w:id="0">
    <w:p w:rsidR="00F131E4" w:rsidRDefault="00F1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242" w:rsidRDefault="0025724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242" w:rsidRDefault="0025724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242" w:rsidRDefault="0025724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1E4" w:rsidRDefault="00F131E4">
      <w:pPr>
        <w:spacing w:after="0" w:line="240" w:lineRule="auto"/>
      </w:pPr>
      <w:r>
        <w:separator/>
      </w:r>
    </w:p>
  </w:footnote>
  <w:footnote w:type="continuationSeparator" w:id="0">
    <w:p w:rsidR="00F131E4" w:rsidRDefault="00F13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242" w:rsidRDefault="0025724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06C" w:rsidRDefault="0085206C" w:rsidP="006E496C">
    <w:pPr>
      <w:pStyle w:val="Intestazione"/>
      <w:jc w:val="right"/>
      <w:rPr>
        <w:rFonts w:ascii="Garamond" w:hAnsi="Garamond"/>
        <w:b/>
      </w:rPr>
    </w:pPr>
    <w:r>
      <w:rPr>
        <w:noProof/>
        <w:lang w:eastAsia="it-IT"/>
      </w:rPr>
      <w:drawing>
        <wp:anchor distT="0" distB="0" distL="114300" distR="114300" simplePos="0" relativeHeight="251657728" behindDoc="0" locked="0" layoutInCell="1" allowOverlap="1" wp14:anchorId="687E4C92" wp14:editId="504C6424">
          <wp:simplePos x="0" y="0"/>
          <wp:positionH relativeFrom="margin">
            <wp:posOffset>-271780</wp:posOffset>
          </wp:positionH>
          <wp:positionV relativeFrom="topMargin">
            <wp:posOffset>453390</wp:posOffset>
          </wp:positionV>
          <wp:extent cx="2879725" cy="341630"/>
          <wp:effectExtent l="0" t="0" r="0" b="127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06C" w:rsidRDefault="0085206C" w:rsidP="006E496C">
    <w:pPr>
      <w:pStyle w:val="Intestazione"/>
      <w:jc w:val="right"/>
      <w:rPr>
        <w:rFonts w:ascii="Garamond" w:hAnsi="Garamond"/>
        <w:b/>
      </w:rPr>
    </w:pPr>
  </w:p>
  <w:p w:rsidR="0085206C" w:rsidRDefault="0085206C" w:rsidP="0085206C">
    <w:pPr>
      <w:pStyle w:val="Intestazione"/>
      <w:tabs>
        <w:tab w:val="left" w:pos="3878"/>
      </w:tabs>
      <w:rPr>
        <w:rFonts w:ascii="Garamond" w:hAnsi="Garamond"/>
        <w:b/>
      </w:rPr>
    </w:pPr>
    <w:r>
      <w:rPr>
        <w:rFonts w:ascii="Garamond" w:hAnsi="Garamond"/>
        <w:b/>
      </w:rPr>
      <w:tab/>
    </w:r>
    <w:r>
      <w:rPr>
        <w:rFonts w:ascii="Garamond" w:hAnsi="Garamond"/>
        <w:b/>
      </w:rPr>
      <w:tab/>
    </w:r>
  </w:p>
  <w:p w:rsidR="00C27B23" w:rsidRPr="000F2C0E" w:rsidRDefault="0048249A" w:rsidP="006E496C">
    <w:pPr>
      <w:pStyle w:val="Intestazione"/>
      <w:jc w:val="right"/>
      <w:rPr>
        <w:rFonts w:ascii="Titillium" w:hAnsi="Titillium" w:cs="Times New Roman"/>
        <w:b/>
        <w:sz w:val="20"/>
        <w:szCs w:val="20"/>
      </w:rPr>
    </w:pPr>
    <w:r w:rsidRPr="000F2C0E">
      <w:rPr>
        <w:rFonts w:ascii="Titillium" w:hAnsi="Titillium"/>
        <w:b/>
        <w:sz w:val="20"/>
        <w:szCs w:val="20"/>
      </w:rPr>
      <w:t xml:space="preserve">Allegato 3 alla </w:t>
    </w:r>
    <w:r w:rsidRPr="000F2C0E">
      <w:rPr>
        <w:rFonts w:ascii="Titillium" w:hAnsi="Titillium" w:cs="Times New Roman"/>
        <w:b/>
        <w:sz w:val="20"/>
        <w:szCs w:val="20"/>
      </w:rPr>
      <w:t>delibera</w:t>
    </w:r>
    <w:r w:rsidR="004833D5" w:rsidRPr="000F2C0E">
      <w:rPr>
        <w:rFonts w:ascii="Titillium" w:hAnsi="Titillium" w:cs="Times New Roman"/>
        <w:b/>
        <w:sz w:val="20"/>
        <w:szCs w:val="20"/>
      </w:rPr>
      <w:t xml:space="preserve"> ANAC</w:t>
    </w:r>
    <w:r w:rsidRPr="000F2C0E">
      <w:rPr>
        <w:rFonts w:ascii="Titillium" w:hAnsi="Titillium" w:cs="Times New Roman"/>
        <w:b/>
        <w:sz w:val="20"/>
        <w:szCs w:val="20"/>
      </w:rPr>
      <w:t xml:space="preserve"> n. </w:t>
    </w:r>
    <w:r w:rsidR="00506EFE">
      <w:rPr>
        <w:rFonts w:ascii="Titillium" w:hAnsi="Titillium" w:cs="Times New Roman"/>
        <w:b/>
        <w:sz w:val="20"/>
        <w:szCs w:val="20"/>
      </w:rPr>
      <w:t>201</w:t>
    </w:r>
    <w:r w:rsidRPr="000F2C0E">
      <w:rPr>
        <w:rFonts w:ascii="Titillium" w:hAnsi="Titillium" w:cs="Times New Roman"/>
        <w:b/>
        <w:sz w:val="20"/>
        <w:szCs w:val="20"/>
      </w:rPr>
      <w:t>/</w:t>
    </w:r>
    <w:r w:rsidR="009C05D1" w:rsidRPr="000F2C0E">
      <w:rPr>
        <w:rFonts w:ascii="Titillium" w:hAnsi="Titillium" w:cs="Times New Roman"/>
        <w:b/>
        <w:sz w:val="20"/>
        <w:szCs w:val="20"/>
      </w:rPr>
      <w:t>202</w:t>
    </w:r>
    <w:r w:rsidR="00257242">
      <w:rPr>
        <w:rFonts w:ascii="Titillium" w:hAnsi="Titillium" w:cs="Times New Roman"/>
        <w:b/>
        <w:sz w:val="20"/>
        <w:szCs w:val="20"/>
      </w:rPr>
      <w:t>2</w:t>
    </w:r>
  </w:p>
  <w:p w:rsidR="0085206C" w:rsidRDefault="0085206C" w:rsidP="006E496C">
    <w:pPr>
      <w:pStyle w:val="Intestazione"/>
      <w:jc w:val="right"/>
      <w:rPr>
        <w:rFonts w:ascii="Garamond" w:hAnsi="Garamond" w:cs="Times New Roman"/>
        <w:b/>
      </w:rPr>
    </w:pPr>
  </w:p>
  <w:p w:rsidR="0085206C" w:rsidRPr="006E496C" w:rsidRDefault="0085206C" w:rsidP="006E496C">
    <w:pPr>
      <w:pStyle w:val="Intestazione"/>
      <w:jc w:val="right"/>
      <w:rPr>
        <w:rFonts w:ascii="Garamond" w:hAnsi="Garamond" w:cs="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242" w:rsidRDefault="0025724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15:restartNumberingAfterBreak="0">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B274FF9"/>
    <w:multiLevelType w:val="hybridMultilevel"/>
    <w:tmpl w:val="4CD022FC"/>
    <w:lvl w:ilvl="0" w:tplc="77CA1D2A">
      <w:start w:val="3"/>
      <w:numFmt w:val="bullet"/>
      <w:lvlText w:val="-"/>
      <w:lvlJc w:val="left"/>
      <w:pPr>
        <w:ind w:left="720" w:hanging="360"/>
      </w:pPr>
      <w:rPr>
        <w:rFonts w:ascii="Garamond" w:eastAsia="Times New Roman" w:hAnsi="Garamond"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23"/>
    <w:rsid w:val="00040F20"/>
    <w:rsid w:val="000F2C0E"/>
    <w:rsid w:val="0016468A"/>
    <w:rsid w:val="0024134D"/>
    <w:rsid w:val="00257242"/>
    <w:rsid w:val="002C1737"/>
    <w:rsid w:val="002C572E"/>
    <w:rsid w:val="003E1CF5"/>
    <w:rsid w:val="0041405A"/>
    <w:rsid w:val="00416AD0"/>
    <w:rsid w:val="0048249A"/>
    <w:rsid w:val="004833D5"/>
    <w:rsid w:val="004F18CD"/>
    <w:rsid w:val="00506EFE"/>
    <w:rsid w:val="0060106A"/>
    <w:rsid w:val="00625104"/>
    <w:rsid w:val="006E496C"/>
    <w:rsid w:val="006E6E2E"/>
    <w:rsid w:val="007052EA"/>
    <w:rsid w:val="00713BFD"/>
    <w:rsid w:val="007A107C"/>
    <w:rsid w:val="007B6D01"/>
    <w:rsid w:val="00837860"/>
    <w:rsid w:val="0085206C"/>
    <w:rsid w:val="00861FE1"/>
    <w:rsid w:val="008A0378"/>
    <w:rsid w:val="00955140"/>
    <w:rsid w:val="009A5646"/>
    <w:rsid w:val="009C05D1"/>
    <w:rsid w:val="009C3F46"/>
    <w:rsid w:val="009C6FAC"/>
    <w:rsid w:val="009E4289"/>
    <w:rsid w:val="00A52DF7"/>
    <w:rsid w:val="00AF790D"/>
    <w:rsid w:val="00B73E11"/>
    <w:rsid w:val="00C27B23"/>
    <w:rsid w:val="00C32BE7"/>
    <w:rsid w:val="00CB087F"/>
    <w:rsid w:val="00D27496"/>
    <w:rsid w:val="00F131E4"/>
    <w:rsid w:val="00FC7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B1834-868F-432B-9D79-8EB178F1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2"/>
      <w:sz w:val="14"/>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itoloCarattere">
    <w:name w:val="Titolo Carattere"/>
    <w:basedOn w:val="Carpredefinitoparagrafo"/>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WWCharLFO13LVL1">
    <w:name w:val="WW_CharLFO13LVL1"/>
    <w:rPr>
      <w:rFonts w:ascii="Times New Roman" w:eastAsia="Times New Roman" w:hAnsi="Times New Roman"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5LVL1">
    <w:name w:val="WW_CharLFO15LVL1"/>
    <w:rPr>
      <w:rFonts w:ascii="Times New Roman" w:eastAsia="Calibri" w:hAnsi="Times New Roman" w:cs="Times New Roman"/>
      <w:sz w:val="20"/>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Caratteredellanota">
    <w:name w:val="Carattere della nota"/>
  </w:style>
  <w:style w:type="paragraph" w:styleId="Testonotaapidipagina">
    <w:name w:val="footnote text"/>
    <w:basedOn w:val="Normale"/>
  </w:style>
  <w:style w:type="paragraph" w:styleId="Paragrafoelenco">
    <w:name w:val="List Paragraph"/>
    <w:basedOn w:val="Normale"/>
    <w:pPr>
      <w:ind w:left="357" w:hanging="357"/>
    </w:pPr>
  </w:style>
  <w:style w:type="paragraph" w:styleId="Titolo">
    <w:name w:val="Title"/>
    <w:basedOn w:val="Normale"/>
    <w:next w:val="Normale"/>
    <w:autoRedefine/>
    <w:pPr>
      <w:numPr>
        <w:numId w:val="1"/>
      </w:numPr>
      <w:spacing w:before="240" w:after="240"/>
      <w:jc w:val="center"/>
      <w:outlineLvl w:val="0"/>
    </w:pPr>
    <w:rPr>
      <w:rFonts w:cs="Times New Roman"/>
      <w:b/>
      <w:bCs/>
      <w:i/>
      <w:sz w:val="36"/>
      <w:szCs w:val="32"/>
    </w:rPr>
  </w:style>
  <w:style w:type="paragraph" w:customStyle="1" w:styleId="Corpodeltesto">
    <w:name w:val="Corpo del testo"/>
    <w:basedOn w:val="Normale"/>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customStyle="1" w:styleId="Default">
    <w:name w:val="Default"/>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227</Words>
  <Characters>1294</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i.siciliani</dc:creator>
  <cp:lastModifiedBy>Mariangela de Gioia</cp:lastModifiedBy>
  <cp:revision>4</cp:revision>
  <cp:lastPrinted>2018-02-28T15:30:00Z</cp:lastPrinted>
  <dcterms:created xsi:type="dcterms:W3CDTF">2022-10-10T12:59:00Z</dcterms:created>
  <dcterms:modified xsi:type="dcterms:W3CDTF">2022-10-11T15:51:00Z</dcterms:modified>
</cp:coreProperties>
</file>